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893AB">
      <w:pPr>
        <w:spacing w:line="540" w:lineRule="exact"/>
        <w:ind w:firstLine="643" w:firstLineChars="200"/>
        <w:jc w:val="center"/>
        <w:rPr>
          <w:rFonts w:hint="eastAsia" w:ascii="仿宋" w:hAnsi="仿宋" w:eastAsia="仿宋"/>
          <w:b/>
          <w:bCs w:val="0"/>
          <w:sz w:val="32"/>
          <w:szCs w:val="32"/>
        </w:rPr>
      </w:pPr>
      <w:bookmarkStart w:id="0" w:name="_GoBack"/>
      <w:bookmarkEnd w:id="0"/>
      <w:r>
        <w:rPr>
          <w:rFonts w:hint="eastAsia" w:ascii="仿宋" w:hAnsi="仿宋" w:eastAsia="仿宋"/>
          <w:b/>
          <w:bCs w:val="0"/>
          <w:sz w:val="32"/>
          <w:szCs w:val="32"/>
        </w:rPr>
        <w:t>北京三药渠道经销商招募公告</w:t>
      </w:r>
    </w:p>
    <w:p w14:paraId="454AD1E1">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北京三药科技有限公司是中国食品药品检定研究院全资下属国有企业，在中检院领导下，自主管理和经营，是国内</w:t>
      </w:r>
      <w:r>
        <w:rPr>
          <w:rFonts w:hint="eastAsia" w:ascii="仿宋" w:hAnsi="仿宋" w:eastAsia="仿宋"/>
          <w:bCs/>
          <w:sz w:val="32"/>
          <w:szCs w:val="32"/>
          <w:lang w:eastAsia="zh-CN"/>
        </w:rPr>
        <w:t>较早</w:t>
      </w:r>
      <w:r>
        <w:rPr>
          <w:rFonts w:hint="eastAsia" w:ascii="仿宋" w:hAnsi="仿宋" w:eastAsia="仿宋"/>
          <w:bCs/>
          <w:sz w:val="32"/>
          <w:szCs w:val="32"/>
        </w:rPr>
        <w:t>从事微生物脱水培养基研发、生产和销售的企业之一。为持续深化市场布局，拓展销售渠道，提升品牌影响力与服务覆盖面，我司现面向社会公开招募具备实力的渠道合作伙伴，共同开拓市场，实现互利共赢。</w:t>
      </w:r>
    </w:p>
    <w:p w14:paraId="6C87B109">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一．招募对象</w:t>
      </w:r>
    </w:p>
    <w:p w14:paraId="0EFA520F">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1. 具备合法经营资质的企业法人。</w:t>
      </w:r>
    </w:p>
    <w:p w14:paraId="3A515033">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2. 在区域内拥有成熟的销售网络、市场资源和良好商业信誉。</w:t>
      </w:r>
    </w:p>
    <w:p w14:paraId="4C8DEF34">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3. 认同我司品牌理念与经营策略，具备专业的市场开拓与服务能力。</w:t>
      </w:r>
    </w:p>
    <w:p w14:paraId="51404931">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4. 拥有稳定的经营和销售团队，服务能力和必要的仓储支持能力。</w:t>
      </w:r>
    </w:p>
    <w:p w14:paraId="3821B64D">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5. 有药品微生物检验检测用产品代理销售经验优先。</w:t>
      </w:r>
    </w:p>
    <w:p w14:paraId="1E3ABDBA">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二．合作优势</w:t>
      </w:r>
    </w:p>
    <w:p w14:paraId="4A10F918">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1.品牌背书： 北京三药拥有30余年的培养基研发生产能力，在微生物检验检测领域具有强大实力与品牌公信力。</w:t>
      </w:r>
    </w:p>
    <w:p w14:paraId="03CF0793">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2.产品竞争力：产品质量双重保证。</w:t>
      </w:r>
    </w:p>
    <w:p w14:paraId="4E52DCB6">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lang w:val="en-US" w:eastAsia="zh-CN"/>
        </w:rPr>
        <w:t>3.</w:t>
      </w:r>
      <w:r>
        <w:rPr>
          <w:rFonts w:hint="eastAsia" w:ascii="仿宋" w:hAnsi="仿宋" w:eastAsia="仿宋"/>
          <w:bCs/>
          <w:sz w:val="32"/>
          <w:szCs w:val="32"/>
        </w:rPr>
        <w:t>专业赋能： 提供产品知识、销售技能、市场策略等专业培训与指导。</w:t>
      </w:r>
    </w:p>
    <w:p w14:paraId="204C5605">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4.政策支持： 提供具有市场竞争力的合作政策、及市场推广支持。</w:t>
      </w:r>
    </w:p>
    <w:p w14:paraId="41CBBE21">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5.区域保护： 建立规范的渠道管理体系，保障合作伙伴的合理市场空间。</w:t>
      </w:r>
    </w:p>
    <w:p w14:paraId="71FF4147">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三．报名方式</w:t>
      </w:r>
    </w:p>
    <w:p w14:paraId="7FBD754F">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1.企业营业执照复印件（加盖公章）；</w:t>
      </w:r>
    </w:p>
    <w:p w14:paraId="75CA9C0E">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2.公司简介（含核心团队、主营业务、渠道经验、重点客户、市场覆盖等）；</w:t>
      </w:r>
    </w:p>
    <w:p w14:paraId="17259744">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3.联系方式（联系人、电话、邮箱、公司地址）；</w:t>
      </w:r>
    </w:p>
    <w:p w14:paraId="6FCDC5FE">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4.联系人身份证复印件、法人授权书；</w:t>
      </w:r>
    </w:p>
    <w:p w14:paraId="57EC82ED">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5.报名邮箱：sanyao@nifdc.com；</w:t>
      </w:r>
    </w:p>
    <w:p w14:paraId="4C8EFE97">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6.咨询电话： 010-57040286（张老师）</w:t>
      </w:r>
    </w:p>
    <w:p w14:paraId="32CF173F">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7.企业微信联系：</w:t>
      </w:r>
    </w:p>
    <w:p w14:paraId="5DC3A503">
      <w:pPr>
        <w:spacing w:line="240" w:lineRule="auto"/>
        <w:ind w:firstLine="480" w:firstLineChars="200"/>
        <w:jc w:val="center"/>
        <w:rPr>
          <w:rFonts w:hint="default" w:ascii="仿宋" w:hAnsi="仿宋" w:eastAsia="仿宋"/>
          <w:bCs/>
          <w:sz w:val="32"/>
          <w:szCs w:val="32"/>
          <w:lang w:val="en-US" w:eastAsia="zh-CN"/>
        </w:rPr>
      </w:pPr>
      <w:r>
        <w:rPr>
          <w:rFonts w:hint="eastAsia" w:asciiTheme="majorEastAsia" w:hAnsiTheme="majorEastAsia" w:eastAsiaTheme="majorEastAsia" w:cstheme="majorEastAsia"/>
          <w:kern w:val="0"/>
          <w:sz w:val="24"/>
          <w:szCs w:val="24"/>
          <w:lang w:val="en-US" w:eastAsia="zh-CN" w:bidi="ar"/>
        </w:rPr>
        <w:drawing>
          <wp:inline distT="0" distB="0" distL="114300" distR="114300">
            <wp:extent cx="927735" cy="927735"/>
            <wp:effectExtent l="0" t="0" r="5715" b="571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927735" cy="927735"/>
                    </a:xfrm>
                    <a:prstGeom prst="rect">
                      <a:avLst/>
                    </a:prstGeom>
                  </pic:spPr>
                </pic:pic>
              </a:graphicData>
            </a:graphic>
          </wp:inline>
        </w:drawing>
      </w:r>
    </w:p>
    <w:p w14:paraId="0FB4B347">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四．后续流程</w:t>
      </w:r>
    </w:p>
    <w:p w14:paraId="1517A223">
      <w:pPr>
        <w:spacing w:line="54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我司将对收到的报名材料进行初步审核，符合基本条件的申请方，我司将安排专人联系洽谈，具体合作细节将在后续沟通中详述。我们诚挚邀请志同道合的伙伴加入北京三药科技有限公司的渠道网络，携手并进，共创辉煌！</w:t>
      </w:r>
    </w:p>
    <w:sectPr>
      <w:pgSz w:w="11906" w:h="16838"/>
      <w:pgMar w:top="2098" w:right="158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方正小标宋简体">
    <w:altName w:val="MiSans Thin"/>
    <w:panose1 w:val="00000000000000000000"/>
    <w:charset w:val="86"/>
    <w:family w:val="auto"/>
    <w:pitch w:val="default"/>
    <w:sig w:usb0="00000000" w:usb1="00000000" w:usb2="00000012" w:usb3="00000000" w:csb0="00040001" w:csb1="00000000"/>
  </w:font>
  <w:font w:name="MiSans Thin">
    <w:panose1 w:val="00000200000000000000"/>
    <w:charset w:val="86"/>
    <w:family w:val="auto"/>
    <w:pitch w:val="default"/>
    <w:sig w:usb0="80000287" w:usb1="080F1811" w:usb2="00000016" w:usb3="00000000" w:csb0="00040001" w:csb1="00000000"/>
  </w:font>
  <w:font w:name="黑体-简">
    <w:panose1 w:val="02010609060101010101"/>
    <w:charset w:val="86"/>
    <w:family w:val="auto"/>
    <w:pitch w:val="default"/>
    <w:sig w:usb0="A00002BF" w:usb1="3ACF7CFA" w:usb2="00000016" w:usb3="00000000" w:csb0="00040001" w:csb1="0000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仿宋_GB2312">
    <w:altName w:val="仿宋-简"/>
    <w:panose1 w:val="00000000000000000000"/>
    <w:charset w:val="86"/>
    <w:family w:val="modern"/>
    <w:pitch w:val="default"/>
    <w:sig w:usb0="00000000" w:usb1="00000000" w:usb2="00000010" w:usb3="00000000" w:csb0="00040000" w:csb1="00000000"/>
  </w:font>
  <w:font w:name="方正雅意黑 GB18030L2 R">
    <w:panose1 w:val="02000500000000000000"/>
    <w:charset w:val="86"/>
    <w:family w:val="auto"/>
    <w:pitch w:val="default"/>
    <w:sig w:usb0="E00002FF" w:usb1="38CFFCFB" w:usb2="00000016" w:usb3="00000000" w:csb0="6004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2E"/>
    <w:rsid w:val="00305C51"/>
    <w:rsid w:val="004462E6"/>
    <w:rsid w:val="005C74E6"/>
    <w:rsid w:val="0071044D"/>
    <w:rsid w:val="009754D9"/>
    <w:rsid w:val="00C01414"/>
    <w:rsid w:val="00D1639E"/>
    <w:rsid w:val="00EC412E"/>
    <w:rsid w:val="00FD4450"/>
    <w:rsid w:val="6DCECE49"/>
    <w:rsid w:val="7FF7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Words>
  <Characters>378</Characters>
  <Lines>3</Lines>
  <Paragraphs>1</Paragraphs>
  <TotalTime>62</TotalTime>
  <ScaleCrop>false</ScaleCrop>
  <LinksUpToDate>false</LinksUpToDate>
  <CharactersWithSpaces>443</CharactersWithSpaces>
  <Application>WPS Office_12.1.3.27441_F1E327BC-269C-435d-A152-05C5408002CA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2024-07-16T18:05:00Z</dcterms:created>
  <dc:creator>夏颖</dc:creator>
  <cp:lastModifiedBy>龚世鹏op p</cp:lastModifiedBy>
  <dcterms:modified xsi:type="dcterms:W3CDTF">2026-07-01T15:29:53Z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2052-12.1.3.27441</vt:lpwstr>
  </property>
  <property fmtid="{D5CDD505-2E9C-101B-9397-08002B2CF9AE}" pid="3" name="ICV">
    <vt:lpwstr>678AB20268BDC4363755436A58657E06_43</vt:lpwstr>
  </property>
</Properties>
</file>